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4152A0"/>
          <w:sz w:val="58"/>
        </w:rPr>
        <w:t>Raising Orchid Kids</w:t>
      </w:r>
    </w:p>
    <w:p>
      <w:pPr>
        <w:jc w:val="center"/>
      </w:pPr>
      <w:r>
        <w:rPr>
          <w:b/>
          <w:color w:val="9D75B4"/>
          <w:sz w:val="34"/>
        </w:rPr>
        <w:t>Core Course Syllabus</w:t>
      </w:r>
    </w:p>
    <w:p>
      <w:pPr>
        <w:jc w:val="center"/>
      </w:pPr>
      <w:r>
        <w:rPr>
          <w:i/>
          <w:color w:val="373741"/>
          <w:sz w:val="21"/>
        </w:rPr>
        <w:t>A self-paced course for understanding behavior, supporting regulation, and strengthening connection</w:t>
      </w:r>
    </w:p>
    <w:tbl>
      <w:tblPr>
        <w:tblW w:type="auto" w:w="0"/>
        <w:jc w:val="center"/>
        <w:tblLook w:firstColumn="1" w:firstRow="1" w:lastColumn="0" w:lastRow="0" w:noHBand="0" w:noVBand="1" w:val="04A0"/>
      </w:tblPr>
      <w:tblGrid>
        <w:gridCol w:w="10080"/>
      </w:tblGrid>
      <w:tr>
        <w:tc>
          <w:tcPr>
            <w:tcW w:type="dxa" w:w="10080"/>
            <w:shd w:fill="EDE7F2"/>
            <w:vAlign w:val="center"/>
          </w:tcPr>
          <w:p>
            <w:pPr>
              <w:spacing w:after="40"/>
            </w:pPr>
            <w:r/>
            <w:r>
              <w:rPr>
                <w:rFonts w:ascii="Aptos" w:hAnsi="Aptos"/>
                <w:b w:val="0"/>
                <w:sz w:val="21"/>
              </w:rPr>
              <w:t>Course purpose: Help parents move from reacting to behavior toward understanding what is underneath it, responding with greater compassion, and building practical supports for their child and family.</w:t>
            </w:r>
          </w:p>
        </w:tc>
      </w:tr>
    </w:tbl>
    <w:p/>
    <w:p>
      <w:pPr>
        <w:pStyle w:val="Heading1"/>
      </w:pPr>
      <w:r>
        <w:t>Course Overview</w:t>
      </w:r>
    </w:p>
    <w:p>
      <w:r>
        <w:t>Raising Orchid Kids is a foundational, self-paced course designed to help parents better understand their child’s behavior, nervous system, regulation needs, and developmental differences. The course combines mindset shifts with practical tools that can be revisited and applied in everyday family life.</w:t>
      </w:r>
    </w:p>
    <w:p>
      <w:r>
        <w:t>Parents are encouraged to move through the material at their own pace, pause and reflect, rewatch lessons, and practice small changes at home. The goal is not perfection or compliance—it is connection, learning, safety, and support.</w:t>
      </w:r>
    </w:p>
    <w:p>
      <w:pPr>
        <w:pStyle w:val="Heading1"/>
      </w:pPr>
      <w:r>
        <w:t>Course Format</w:t>
      </w:r>
    </w:p>
    <w:p>
      <w:pPr>
        <w:pStyle w:val="ListBullet"/>
        <w:spacing w:after="40"/>
        <w:ind w:left="360"/>
      </w:pPr>
      <w:r>
        <w:t>Eight self-paced video modules.</w:t>
      </w:r>
    </w:p>
    <w:p>
      <w:pPr>
        <w:pStyle w:val="ListBullet"/>
        <w:spacing w:after="40"/>
        <w:ind w:left="360"/>
      </w:pPr>
      <w:r>
        <w:t>Email guidance and key takeaways accompanying each module.</w:t>
      </w:r>
    </w:p>
    <w:p>
      <w:pPr>
        <w:pStyle w:val="ListBullet"/>
        <w:spacing w:after="40"/>
        <w:ind w:left="360"/>
      </w:pPr>
      <w:r>
        <w:t>Reflection and real-life application between lessons.</w:t>
      </w:r>
    </w:p>
    <w:p>
      <w:pPr>
        <w:pStyle w:val="ListBullet"/>
        <w:spacing w:after="40"/>
        <w:ind w:left="360"/>
      </w:pPr>
      <w:r>
        <w:t>Access to course materials for revisiting videos and worksheets.</w:t>
      </w:r>
    </w:p>
    <w:p>
      <w:pPr>
        <w:pStyle w:val="ListBullet"/>
        <w:spacing w:after="40"/>
        <w:ind w:left="360"/>
      </w:pPr>
      <w:r>
        <w:t>A final reflection to identify meaningful learning and ongoing areas of practice.</w:t>
      </w:r>
    </w:p>
    <w:p>
      <w:pPr>
        <w:pStyle w:val="ListBullet"/>
        <w:spacing w:after="40"/>
        <w:ind w:left="360"/>
      </w:pPr>
      <w:r>
        <w:t>Optional continued support through Raising Orchid Kids membership and live support options.</w:t>
      </w:r>
    </w:p>
    <w:p>
      <w:pPr>
        <w:pStyle w:val="Heading1"/>
      </w:pPr>
      <w:r>
        <w:t>Learning Outcomes</w:t>
      </w:r>
    </w:p>
    <w:p>
      <w:r>
        <w:t>By the end of the course, participants will be better able to:</w:t>
      </w:r>
    </w:p>
    <w:p>
      <w:pPr>
        <w:pStyle w:val="ListBullet"/>
        <w:spacing w:after="40"/>
        <w:ind w:left="360"/>
      </w:pPr>
      <w:r>
        <w:t>Recognize how their own experiences, beliefs, and expectations influence parenting responses.</w:t>
      </w:r>
    </w:p>
    <w:p>
      <w:pPr>
        <w:pStyle w:val="ListBullet"/>
        <w:spacing w:after="40"/>
        <w:ind w:left="360"/>
      </w:pPr>
      <w:r>
        <w:t>View behavior as communication and investigate what may be happening beneath the surface.</w:t>
      </w:r>
    </w:p>
    <w:p>
      <w:pPr>
        <w:pStyle w:val="ListBullet"/>
        <w:spacing w:after="40"/>
        <w:ind w:left="360"/>
      </w:pPr>
      <w:r>
        <w:t>Understand the importance of nervous-system safety, co-regulation, and developmental readiness.</w:t>
      </w:r>
    </w:p>
    <w:p>
      <w:pPr>
        <w:pStyle w:val="ListBullet"/>
        <w:spacing w:after="40"/>
        <w:ind w:left="360"/>
      </w:pPr>
      <w:r>
        <w:t>Identify antecedents and make supportive changes before difficult behavior occurs.</w:t>
      </w:r>
    </w:p>
    <w:p>
      <w:pPr>
        <w:pStyle w:val="ListBullet"/>
        <w:spacing w:after="40"/>
        <w:ind w:left="360"/>
      </w:pPr>
      <w:r>
        <w:t>Distinguish meltdowns from intentional misbehavior and respond with grounding and compassion.</w:t>
      </w:r>
    </w:p>
    <w:p>
      <w:pPr>
        <w:pStyle w:val="ListBullet"/>
        <w:spacing w:after="40"/>
        <w:ind w:left="360"/>
      </w:pPr>
      <w:r>
        <w:t>Use the concept of the “just right challenge” to create achievable next steps.</w:t>
      </w:r>
    </w:p>
    <w:p>
      <w:pPr>
        <w:pStyle w:val="ListBullet"/>
        <w:spacing w:after="40"/>
        <w:ind w:left="360"/>
      </w:pPr>
      <w:r>
        <w:t>Help children develop self-awareness through brain talk, regulation language, and reflection.</w:t>
      </w:r>
    </w:p>
    <w:p>
      <w:pPr>
        <w:pStyle w:val="ListBullet"/>
        <w:spacing w:after="40"/>
        <w:ind w:left="360"/>
      </w:pPr>
      <w:r>
        <w:t>Use consequences as opportunities for learning, repair, and problem-solving rather than punishment.</w:t>
      </w:r>
    </w:p>
    <w:p>
      <w:pPr>
        <w:pStyle w:val="ListBullet"/>
        <w:spacing w:after="40"/>
        <w:ind w:left="360"/>
      </w:pPr>
      <w:r>
        <w:t>Build a personal set of regulation and self-care tools to support the whole family.</w:t>
      </w:r>
    </w:p>
    <w:p>
      <w:pPr>
        <w:pStyle w:val="Heading1"/>
      </w:pPr>
      <w:r>
        <w:t>Module Sequence</w:t>
      </w:r>
    </w:p>
    <w:p>
      <w:pPr>
        <w:spacing w:before="160" w:after="20"/>
      </w:pPr>
      <w:r>
        <w:rPr>
          <w:b/>
          <w:color w:val="9D75B4"/>
          <w:sz w:val="18"/>
        </w:rPr>
        <w:t>MODULE 1</w:t>
      </w:r>
    </w:p>
    <w:p>
      <w:pPr>
        <w:spacing w:after="40"/>
      </w:pPr>
      <w:r>
        <w:rPr>
          <w:b/>
          <w:color w:val="4152A0"/>
          <w:sz w:val="26"/>
        </w:rPr>
        <w:t>The Parenting Advice That Doesn’t Work for Orchid Kids</w:t>
      </w:r>
    </w:p>
    <w:p>
      <w:r>
        <w:t>Explore the “luggage” parents bring into difficult moments, including childhood experiences, beliefs about discipline, and expectations for behavior.</w:t>
      </w:r>
    </w:p>
    <w:p>
      <w:pPr>
        <w:spacing w:after="40"/>
      </w:pPr>
      <w:r>
        <w:rPr>
          <w:b/>
          <w:color w:val="9D75B4"/>
        </w:rPr>
        <w:t>Key takeaways</w:t>
      </w:r>
    </w:p>
    <w:p>
      <w:pPr>
        <w:pStyle w:val="ListBullet"/>
        <w:spacing w:after="40"/>
        <w:ind w:left="360"/>
      </w:pPr>
      <w:r>
        <w:t>Parenting is shaped by patterns and expectations, not just strategies.</w:t>
      </w:r>
    </w:p>
    <w:p>
      <w:pPr>
        <w:pStyle w:val="ListBullet"/>
        <w:spacing w:after="40"/>
        <w:ind w:left="360"/>
      </w:pPr>
      <w:r>
        <w:t>Relationship matters more than compliance.</w:t>
      </w:r>
    </w:p>
    <w:p>
      <w:pPr>
        <w:pStyle w:val="ListBullet"/>
        <w:spacing w:after="40"/>
        <w:ind w:left="360"/>
      </w:pPr>
      <w:r>
        <w:t>An authoritative approach combines warmth and structure.</w:t>
      </w:r>
    </w:p>
    <w:p>
      <w:pPr>
        <w:pStyle w:val="ListBullet"/>
        <w:spacing w:after="40"/>
        <w:ind w:left="360"/>
      </w:pPr>
      <w:r>
        <w:t>Co-regulation is a developmental support—not spoiling.</w:t>
      </w:r>
    </w:p>
    <w:p>
      <w:pPr>
        <w:pStyle w:val="ListBullet"/>
        <w:spacing w:after="40"/>
        <w:ind w:left="360"/>
      </w:pPr>
      <w:r>
        <w:t>Emotional regulation and self-control develop over time.</w:t>
      </w:r>
    </w:p>
    <w:p>
      <w:pPr>
        <w:spacing w:before="160" w:after="20"/>
      </w:pPr>
      <w:r>
        <w:rPr>
          <w:b/>
          <w:color w:val="9D75B4"/>
          <w:sz w:val="18"/>
        </w:rPr>
        <w:t>MODULE 2</w:t>
      </w:r>
    </w:p>
    <w:p>
      <w:pPr>
        <w:spacing w:after="40"/>
      </w:pPr>
      <w:r>
        <w:rPr>
          <w:b/>
          <w:color w:val="4152A0"/>
          <w:sz w:val="26"/>
        </w:rPr>
        <w:t>Your Child’s Behavior Is Telling You Something</w:t>
      </w:r>
    </w:p>
    <w:p>
      <w:r>
        <w:t>Begin looking beneath observable behavior and shift from “How do I stop this?” to “What is this behavior trying to tell me?”</w:t>
      </w:r>
    </w:p>
    <w:p>
      <w:pPr>
        <w:spacing w:after="40"/>
      </w:pPr>
      <w:r>
        <w:rPr>
          <w:b/>
          <w:color w:val="9D75B4"/>
        </w:rPr>
        <w:t>Key takeaways</w:t>
      </w:r>
    </w:p>
    <w:p>
      <w:pPr>
        <w:pStyle w:val="ListBullet"/>
        <w:spacing w:after="40"/>
        <w:ind w:left="360"/>
      </w:pPr>
      <w:r>
        <w:t>Behavior is the visible part of a larger iceberg.</w:t>
      </w:r>
    </w:p>
    <w:p>
      <w:pPr>
        <w:pStyle w:val="ListBullet"/>
        <w:spacing w:after="40"/>
        <w:ind w:left="360"/>
      </w:pPr>
      <w:r>
        <w:t>Body and brain needs often influence behavior.</w:t>
      </w:r>
    </w:p>
    <w:p>
      <w:pPr>
        <w:pStyle w:val="ListBullet"/>
        <w:spacing w:after="40"/>
        <w:ind w:left="360"/>
      </w:pPr>
      <w:r>
        <w:t>Safety is especially important for Orchid kids.</w:t>
      </w:r>
    </w:p>
    <w:p>
      <w:pPr>
        <w:pStyle w:val="ListBullet"/>
        <w:spacing w:after="40"/>
        <w:ind w:left="360"/>
      </w:pPr>
      <w:r>
        <w:t>Sensory discomfort, hunger, pain, sleep disruption, and overwhelm can affect behavior.</w:t>
      </w:r>
    </w:p>
    <w:p>
      <w:pPr>
        <w:pStyle w:val="ListBullet"/>
        <w:spacing w:after="40"/>
        <w:ind w:left="360"/>
      </w:pPr>
      <w:r>
        <w:t>The ABCs—antecedent, behavior, and consequence—help us understand patterns.</w:t>
      </w:r>
    </w:p>
    <w:p>
      <w:pPr>
        <w:spacing w:before="160" w:after="20"/>
      </w:pPr>
      <w:r>
        <w:rPr>
          <w:b/>
          <w:color w:val="9D75B4"/>
          <w:sz w:val="18"/>
        </w:rPr>
        <w:t>MODULE 3</w:t>
      </w:r>
    </w:p>
    <w:p>
      <w:pPr>
        <w:spacing w:after="40"/>
      </w:pPr>
      <w:r>
        <w:rPr>
          <w:b/>
          <w:color w:val="4152A0"/>
          <w:sz w:val="26"/>
        </w:rPr>
        <w:t>What’s Underneath the Behavior Matters Most</w:t>
      </w:r>
    </w:p>
    <w:p>
      <w:r>
        <w:t>Go deeper into body-driven reactions, neurodivergence, co-regulation, and the meaning of meltdowns.</w:t>
      </w:r>
    </w:p>
    <w:p>
      <w:pPr>
        <w:spacing w:after="40"/>
      </w:pPr>
      <w:r>
        <w:rPr>
          <w:b/>
          <w:color w:val="9D75B4"/>
        </w:rPr>
        <w:t>Key takeaways</w:t>
      </w:r>
    </w:p>
    <w:p>
      <w:pPr>
        <w:pStyle w:val="ListBullet"/>
        <w:spacing w:after="40"/>
        <w:ind w:left="360"/>
      </w:pPr>
      <w:r>
        <w:t>Many behaviors are bottom-up and begin in the body.</w:t>
      </w:r>
    </w:p>
    <w:p>
      <w:pPr>
        <w:pStyle w:val="ListBullet"/>
        <w:spacing w:after="40"/>
        <w:ind w:left="360"/>
      </w:pPr>
      <w:r>
        <w:t>Emotional reactions are experiences to support, not always problems to solve.</w:t>
      </w:r>
    </w:p>
    <w:p>
      <w:pPr>
        <w:pStyle w:val="ListBullet"/>
        <w:spacing w:after="40"/>
        <w:ind w:left="360"/>
      </w:pPr>
      <w:r>
        <w:t>A calm adult can provide a sturdy platform for a child.</w:t>
      </w:r>
    </w:p>
    <w:p>
      <w:pPr>
        <w:pStyle w:val="ListBullet"/>
        <w:spacing w:after="40"/>
        <w:ind w:left="360"/>
      </w:pPr>
      <w:r>
        <w:t>Meltdowns are signals of overwhelm, not proof of intentional difficulty.</w:t>
      </w:r>
    </w:p>
    <w:p>
      <w:pPr>
        <w:pStyle w:val="ListBullet"/>
        <w:spacing w:after="40"/>
        <w:ind w:left="360"/>
      </w:pPr>
      <w:r>
        <w:t>Children may ask for help in ways that are hard to receive.</w:t>
      </w:r>
    </w:p>
    <w:p>
      <w:pPr>
        <w:spacing w:before="160" w:after="20"/>
      </w:pPr>
      <w:r>
        <w:rPr>
          <w:b/>
          <w:color w:val="9D75B4"/>
          <w:sz w:val="18"/>
        </w:rPr>
        <w:t>MODULE 4</w:t>
      </w:r>
    </w:p>
    <w:p>
      <w:pPr>
        <w:spacing w:after="40"/>
      </w:pPr>
      <w:r>
        <w:rPr>
          <w:b/>
          <w:color w:val="4152A0"/>
          <w:sz w:val="26"/>
        </w:rPr>
        <w:t>The Best Way to Change Behavior Starts Before It Happens</w:t>
      </w:r>
    </w:p>
    <w:p>
      <w:r>
        <w:t>Learn how antecedents shape behavior and how upstream planning can prevent predictable challenges from escalating.</w:t>
      </w:r>
    </w:p>
    <w:p>
      <w:pPr>
        <w:spacing w:after="40"/>
      </w:pPr>
      <w:r>
        <w:rPr>
          <w:b/>
          <w:color w:val="9D75B4"/>
        </w:rPr>
        <w:t>Key takeaways</w:t>
      </w:r>
    </w:p>
    <w:p>
      <w:pPr>
        <w:pStyle w:val="ListBullet"/>
        <w:spacing w:after="40"/>
        <w:ind w:left="360"/>
      </w:pPr>
      <w:r>
        <w:t>Antecedents often offer the greatest return on investment.</w:t>
      </w:r>
    </w:p>
    <w:p>
      <w:pPr>
        <w:pStyle w:val="ListBullet"/>
        <w:spacing w:after="40"/>
        <w:ind w:left="360"/>
      </w:pPr>
      <w:r>
        <w:t>Predictable challenges create opportunities for preparation.</w:t>
      </w:r>
    </w:p>
    <w:p>
      <w:pPr>
        <w:pStyle w:val="ListBullet"/>
        <w:spacing w:after="40"/>
        <w:ind w:left="360"/>
      </w:pPr>
      <w:r>
        <w:t>Meltdowns reflect nervous-system overload rather than simply defiance.</w:t>
      </w:r>
    </w:p>
    <w:p>
      <w:pPr>
        <w:pStyle w:val="ListBullet"/>
        <w:spacing w:after="40"/>
        <w:ind w:left="360"/>
      </w:pPr>
      <w:r>
        <w:t>During a meltdown, the priority is staying grounded and supporting safety.</w:t>
      </w:r>
    </w:p>
    <w:p>
      <w:pPr>
        <w:pStyle w:val="ListBullet"/>
        <w:spacing w:after="40"/>
        <w:ind w:left="360"/>
      </w:pPr>
      <w:r>
        <w:t>Time In, Special Time, and child-directed connection can build regulation and goodwill.</w:t>
      </w:r>
    </w:p>
    <w:p>
      <w:pPr>
        <w:spacing w:before="160" w:after="20"/>
      </w:pPr>
      <w:r>
        <w:rPr>
          <w:b/>
          <w:color w:val="9D75B4"/>
          <w:sz w:val="18"/>
        </w:rPr>
        <w:t>MODULE 5</w:t>
      </w:r>
    </w:p>
    <w:p>
      <w:pPr>
        <w:spacing w:after="40"/>
      </w:pPr>
      <w:r>
        <w:rPr>
          <w:b/>
          <w:color w:val="4152A0"/>
          <w:sz w:val="26"/>
        </w:rPr>
        <w:t>The “Just Right Challenge” Can Change Everything</w:t>
      </w:r>
    </w:p>
    <w:p>
      <w:r>
        <w:t>Discover how to identify the next step that stretches a child without overwhelming them.</w:t>
      </w:r>
    </w:p>
    <w:p>
      <w:pPr>
        <w:spacing w:after="40"/>
      </w:pPr>
      <w:r>
        <w:rPr>
          <w:b/>
          <w:color w:val="9D75B4"/>
        </w:rPr>
        <w:t>Key takeaways</w:t>
      </w:r>
    </w:p>
    <w:p>
      <w:pPr>
        <w:pStyle w:val="ListBullet"/>
        <w:spacing w:after="40"/>
        <w:ind w:left="360"/>
      </w:pPr>
      <w:r>
        <w:t>A child’s regulation bandwidth can change from day to day.</w:t>
      </w:r>
    </w:p>
    <w:p>
      <w:pPr>
        <w:pStyle w:val="ListBullet"/>
        <w:spacing w:after="40"/>
        <w:ind w:left="360"/>
      </w:pPr>
      <w:r>
        <w:t>Outside that bandwidth, a child may be in a non-learning zone.</w:t>
      </w:r>
    </w:p>
    <w:p>
      <w:pPr>
        <w:pStyle w:val="ListBullet"/>
        <w:spacing w:after="40"/>
        <w:ind w:left="360"/>
      </w:pPr>
      <w:r>
        <w:t>This is about nervous-system wiring, not character.</w:t>
      </w:r>
    </w:p>
    <w:p>
      <w:pPr>
        <w:pStyle w:val="ListBullet"/>
        <w:spacing w:after="40"/>
        <w:ind w:left="360"/>
      </w:pPr>
      <w:r>
        <w:t>Sensory profile, preferences, temperament, triggers, strengths, and challenges all matter.</w:t>
      </w:r>
    </w:p>
    <w:p>
      <w:pPr>
        <w:pStyle w:val="ListBullet"/>
        <w:spacing w:after="40"/>
        <w:ind w:left="360"/>
      </w:pPr>
      <w:r>
        <w:t>Breaking large goals into tiny steps allows small wins to build momentum.</w:t>
      </w:r>
    </w:p>
    <w:p>
      <w:pPr>
        <w:spacing w:before="160" w:after="20"/>
      </w:pPr>
      <w:r>
        <w:rPr>
          <w:b/>
          <w:color w:val="9D75B4"/>
          <w:sz w:val="18"/>
        </w:rPr>
        <w:t>MODULE 6</w:t>
      </w:r>
    </w:p>
    <w:p>
      <w:pPr>
        <w:spacing w:after="40"/>
      </w:pPr>
      <w:r>
        <w:rPr>
          <w:b/>
          <w:color w:val="4152A0"/>
          <w:sz w:val="26"/>
        </w:rPr>
        <w:t>Helping Your Child Understand Their Brain and Body</w:t>
      </w:r>
    </w:p>
    <w:p>
      <w:r>
        <w:t>Explore nervous systems, self-awareness, regulation language, and tools that help children understand their internal experiences.</w:t>
      </w:r>
    </w:p>
    <w:p>
      <w:pPr>
        <w:spacing w:after="40"/>
      </w:pPr>
      <w:r>
        <w:rPr>
          <w:b/>
          <w:color w:val="9D75B4"/>
        </w:rPr>
        <w:t>Key takeaways</w:t>
      </w:r>
    </w:p>
    <w:p>
      <w:pPr>
        <w:pStyle w:val="ListBullet"/>
        <w:spacing w:after="40"/>
        <w:ind w:left="360"/>
      </w:pPr>
      <w:r>
        <w:t>No one stays in the green zone all the time.</w:t>
      </w:r>
    </w:p>
    <w:p>
      <w:pPr>
        <w:pStyle w:val="ListBullet"/>
        <w:spacing w:after="40"/>
        <w:ind w:left="360"/>
      </w:pPr>
      <w:r>
        <w:t>The Zones of Regulation can support noticing and naming internal states.</w:t>
      </w:r>
    </w:p>
    <w:p>
      <w:pPr>
        <w:pStyle w:val="ListBullet"/>
        <w:spacing w:after="40"/>
        <w:ind w:left="360"/>
      </w:pPr>
      <w:r>
        <w:t>Metacognition helps children understand how their brains work.</w:t>
      </w:r>
    </w:p>
    <w:p>
      <w:pPr>
        <w:pStyle w:val="ListBullet"/>
        <w:spacing w:after="40"/>
        <w:ind w:left="360"/>
      </w:pPr>
      <w:r>
        <w:t>Interoception and self-awareness may be difficult for many Orchid kids.</w:t>
      </w:r>
    </w:p>
    <w:p>
      <w:pPr>
        <w:pStyle w:val="ListBullet"/>
        <w:spacing w:after="40"/>
        <w:ind w:left="360"/>
      </w:pPr>
      <w:r>
        <w:t>Brain talk can reduce shame and make challenges more workable.</w:t>
      </w:r>
    </w:p>
    <w:p>
      <w:pPr>
        <w:pStyle w:val="ListBullet"/>
        <w:spacing w:after="40"/>
        <w:ind w:left="360"/>
      </w:pPr>
      <w:r>
        <w:t>Strengths and challenges can exist side by side.</w:t>
      </w:r>
    </w:p>
    <w:p>
      <w:pPr>
        <w:spacing w:before="160" w:after="20"/>
      </w:pPr>
      <w:r>
        <w:rPr>
          <w:b/>
          <w:color w:val="9D75B4"/>
          <w:sz w:val="18"/>
        </w:rPr>
        <w:t>MODULE 7</w:t>
      </w:r>
    </w:p>
    <w:p>
      <w:pPr>
        <w:spacing w:after="40"/>
      </w:pPr>
      <w:r>
        <w:rPr>
          <w:b/>
          <w:color w:val="4152A0"/>
          <w:sz w:val="26"/>
        </w:rPr>
        <w:t>Consequences Don’t Work the Way Most Parents Think</w:t>
      </w:r>
    </w:p>
    <w:p>
      <w:r>
        <w:t>Reframe consequences as tools for learning, repair, and problem-solving rather than punishment or power.</w:t>
      </w:r>
    </w:p>
    <w:p>
      <w:pPr>
        <w:spacing w:after="40"/>
      </w:pPr>
      <w:r>
        <w:rPr>
          <w:b/>
          <w:color w:val="9D75B4"/>
        </w:rPr>
        <w:t>Key takeaways</w:t>
      </w:r>
    </w:p>
    <w:p>
      <w:pPr>
        <w:pStyle w:val="ListBullet"/>
        <w:spacing w:after="40"/>
        <w:ind w:left="360"/>
      </w:pPr>
      <w:r>
        <w:t>Antecedents remain more important than consequences.</w:t>
      </w:r>
    </w:p>
    <w:p>
      <w:pPr>
        <w:pStyle w:val="ListBullet"/>
        <w:spacing w:after="40"/>
        <w:ind w:left="360"/>
      </w:pPr>
      <w:r>
        <w:t>A consequence is not automatically a punishment.</w:t>
      </w:r>
    </w:p>
    <w:p>
      <w:pPr>
        <w:pStyle w:val="ListBullet"/>
        <w:spacing w:after="40"/>
        <w:ind w:left="360"/>
      </w:pPr>
      <w:r>
        <w:t>Logical consequences are more likely to teach the intended skill.</w:t>
      </w:r>
    </w:p>
    <w:p>
      <w:pPr>
        <w:pStyle w:val="ListBullet"/>
        <w:spacing w:after="40"/>
        <w:ind w:left="360"/>
      </w:pPr>
      <w:r>
        <w:t>Safety comes first during crisis moments.</w:t>
      </w:r>
    </w:p>
    <w:p>
      <w:pPr>
        <w:pStyle w:val="ListBullet"/>
        <w:spacing w:after="40"/>
        <w:ind w:left="360"/>
      </w:pPr>
      <w:r>
        <w:t>The goal is teaching—not gaining power over a child.</w:t>
      </w:r>
    </w:p>
    <w:p>
      <w:pPr>
        <w:spacing w:before="160" w:after="20"/>
      </w:pPr>
      <w:r>
        <w:rPr>
          <w:b/>
          <w:color w:val="9D75B4"/>
          <w:sz w:val="18"/>
        </w:rPr>
        <w:t>MODULE 8</w:t>
      </w:r>
    </w:p>
    <w:p>
      <w:pPr>
        <w:spacing w:after="40"/>
      </w:pPr>
      <w:r>
        <w:rPr>
          <w:b/>
          <w:color w:val="4152A0"/>
          <w:sz w:val="26"/>
        </w:rPr>
        <w:t>You Matter in This Too</w:t>
      </w:r>
    </w:p>
    <w:p>
      <w:r>
        <w:t>Consider self-care as nervous-system support and create a sustainable plan for continued growth and support.</w:t>
      </w:r>
    </w:p>
    <w:p>
      <w:pPr>
        <w:spacing w:after="40"/>
      </w:pPr>
      <w:r>
        <w:rPr>
          <w:b/>
          <w:color w:val="9D75B4"/>
        </w:rPr>
        <w:t>Key takeaways</w:t>
      </w:r>
    </w:p>
    <w:p>
      <w:pPr>
        <w:pStyle w:val="ListBullet"/>
        <w:spacing w:after="40"/>
        <w:ind w:left="360"/>
      </w:pPr>
      <w:r>
        <w:t>Self-care is essential, not an optional extra.</w:t>
      </w:r>
    </w:p>
    <w:p>
      <w:pPr>
        <w:pStyle w:val="ListBullet"/>
        <w:spacing w:after="40"/>
        <w:ind w:left="360"/>
      </w:pPr>
      <w:r>
        <w:t>A parent’s steadiness matters when supporting a sensitive nervous system.</w:t>
      </w:r>
    </w:p>
    <w:p>
      <w:pPr>
        <w:pStyle w:val="ListBullet"/>
        <w:spacing w:after="40"/>
        <w:ind w:left="360"/>
      </w:pPr>
      <w:r>
        <w:t>Breath, self-touch, movement, music, stepping away, and calming routines can help.</w:t>
      </w:r>
    </w:p>
    <w:p>
      <w:pPr>
        <w:pStyle w:val="ListBullet"/>
        <w:spacing w:after="40"/>
        <w:ind w:left="360"/>
      </w:pPr>
      <w:r>
        <w:t>A personal “pick list” can make regulation tools easier to use.</w:t>
      </w:r>
    </w:p>
    <w:p>
      <w:pPr>
        <w:pStyle w:val="ListBullet"/>
        <w:spacing w:after="40"/>
        <w:ind w:left="360"/>
      </w:pPr>
      <w:r>
        <w:t>Parents do not have to do this alone.</w:t>
      </w:r>
    </w:p>
    <w:p>
      <w:pPr>
        <w:pStyle w:val="Heading1"/>
      </w:pPr>
      <w:r>
        <w:t>Completion &amp; Reflection</w:t>
      </w:r>
    </w:p>
    <w:p>
      <w:r>
        <w:t>After completing all eight modules, participants are encouraged to complete a final reflection. The reflection is an opportunity to capture what felt meaningful, what they want to remember, and what they want to continue practicing. It can be revisited whenever family life feels challenging.</w:t>
      </w:r>
    </w:p>
    <w:p>
      <w:r>
        <w:t>Because familiar patterns can return under stress, repetition and reflection are central to the course. Participants are encouraged to rewatch lessons and return to worksheets whenever they need perspective, support, or a reset.</w:t>
      </w:r>
    </w:p>
    <w:p>
      <w:pPr>
        <w:pStyle w:val="Heading1"/>
      </w:pPr>
      <w:r>
        <w:t>Ongoing Support</w:t>
      </w:r>
    </w:p>
    <w:p>
      <w:r>
        <w:t>Raising Orchid Kids offers continued support through membership and other live support options. Core Course graduates are welcome to learn more about ongoing community, individualized guidance, and opportunities to continue building on the course material.</w:t>
      </w:r>
    </w:p>
    <w:p>
      <w:pPr>
        <w:pStyle w:val="Heading1"/>
      </w:pPr>
      <w:r>
        <w:t>A Note to Participants</w:t>
      </w:r>
    </w:p>
    <w:p>
      <w:r>
        <w:t>You do not need to absorb everything at once. Take your time, notice what resonates, and allow the material to become useful through practice. Parenting is an ongoing learning experience, and the same ideas may land differently as your child and family grow.</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D75B4"/>
        <w:sz w:val="16"/>
      </w:rPr>
      <w:t>Raising Orchid Kids  •  Core Course Syllabus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9D75B4"/>
        <w:sz w:val="18"/>
      </w:rPr>
      <w:t>RAISING ORCHID KIDS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7374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4152A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9D75B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4152A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